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55" w:rsidRPr="00260C55" w:rsidRDefault="00260C55" w:rsidP="00260C55">
      <w:pPr>
        <w:pBdr>
          <w:bottom w:val="single" w:sz="6" w:space="8" w:color="E5E5E5"/>
        </w:pBdr>
        <w:shd w:val="clear" w:color="auto" w:fill="FFFFFF"/>
        <w:spacing w:after="300" w:line="480" w:lineRule="atLeast"/>
        <w:ind w:firstLine="0"/>
        <w:jc w:val="left"/>
        <w:outlineLvl w:val="0"/>
        <w:rPr>
          <w:rFonts w:ascii="Georgia" w:eastAsia="Times New Roman" w:hAnsi="Georgia"/>
          <w:caps/>
          <w:color w:val="000000"/>
          <w:kern w:val="36"/>
          <w:sz w:val="35"/>
          <w:szCs w:val="35"/>
          <w:lang w:eastAsia="ru-RU"/>
        </w:rPr>
      </w:pPr>
      <w:r w:rsidRPr="00260C55">
        <w:rPr>
          <w:rFonts w:ascii="Georgia" w:eastAsia="Times New Roman" w:hAnsi="Georgia"/>
          <w:caps/>
          <w:color w:val="000000"/>
          <w:kern w:val="36"/>
          <w:sz w:val="35"/>
          <w:szCs w:val="35"/>
          <w:lang w:eastAsia="ru-RU"/>
        </w:rPr>
        <w:t>ПРОТОКОЛ ЗАСЕДАНИЯ МЕЖВЕДОМСТВЕННОЙ КОМИССИИ ПО ПОДГОТОВКЕ ГРАЖДАН РОССИЙСКОЙ ФЕДЕРАЦИИ К ВОЕННОЙ СЛУЖБЕ И ВОЕННО- ПАТРИОТИЧЕСКОМУ ВОСПИТАНИЮ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ПРОТОКОЛ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заседания Межведомственной комиссии по подготовке граждан Российской Федерации к военной службе и военно-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патриотическому воспитанию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C00000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г. Тула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righ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u w:val="single"/>
          <w:lang w:eastAsia="ru-RU"/>
        </w:rPr>
        <w:t>от 30 июня 2015 г. № 10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ПРЕДСЕДАТЕЛЬСТВОВАЛ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заместитель председателя Межведомственной комиссии по подготовке граждан Российской Федерации к военной службе и военно-патриотическому воспитанию – начальник Главного организационно-мобилизационного управления Генерального штаба Вооруженных Сил Российской Федерации – заместитель начальника Генерального штаба Вооруженных Сил Российской Федерации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генерал-лейтенант Тонкошкуров В.П.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C00000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u w:val="single"/>
          <w:lang w:eastAsia="ru-RU"/>
        </w:rPr>
        <w:t>Присутствовали:</w:t>
      </w:r>
    </w:p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5657"/>
      </w:tblGrid>
      <w:tr w:rsidR="00260C55" w:rsidRPr="00260C55" w:rsidTr="00260C55">
        <w:tc>
          <w:tcPr>
            <w:tcW w:w="4570" w:type="dxa"/>
            <w:shd w:val="clear" w:color="auto" w:fill="FFFFFF"/>
            <w:hideMark/>
          </w:tcPr>
          <w:p w:rsidR="00260C55" w:rsidRPr="00260C55" w:rsidRDefault="00260C55" w:rsidP="00260C55">
            <w:pPr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члены Межведомственной</w:t>
            </w:r>
          </w:p>
          <w:p w:rsidR="00260C55" w:rsidRPr="00260C55" w:rsidRDefault="00260C55" w:rsidP="00260C55">
            <w:pPr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комиссии (уполномоченные представители):</w:t>
            </w:r>
          </w:p>
        </w:tc>
        <w:tc>
          <w:tcPr>
            <w:tcW w:w="4856" w:type="dxa"/>
            <w:shd w:val="clear" w:color="auto" w:fill="FFFFFF"/>
            <w:hideMark/>
          </w:tcPr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Кальченко Григорий Иванович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Константинов Владимир Иванович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Кузьмин Алексей Петрович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Лебедев Александр Александрович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proofErr w:type="spellStart"/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Мавричев</w:t>
            </w:r>
            <w:proofErr w:type="spellEnd"/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 xml:space="preserve"> Олег Анатольевич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Ольховский Роман Михайлович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Поляков Михаил Николаевич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Ходаков Владимир Иванович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Цыганков Алексей Михайлович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proofErr w:type="spellStart"/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Чепусов</w:t>
            </w:r>
            <w:proofErr w:type="spellEnd"/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 xml:space="preserve"> Сергей Иванович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260C55" w:rsidRPr="00260C55" w:rsidTr="00260C55">
        <w:tc>
          <w:tcPr>
            <w:tcW w:w="4570" w:type="dxa"/>
            <w:shd w:val="clear" w:color="auto" w:fill="FFFFFF"/>
            <w:hideMark/>
          </w:tcPr>
          <w:p w:rsidR="00260C55" w:rsidRPr="00260C55" w:rsidRDefault="00260C55" w:rsidP="00260C55">
            <w:pPr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lastRenderedPageBreak/>
              <w:t>представители федеральных органов исполнительной власти, органов исполнительной власти субъектов Российской Федерации и организаций:</w:t>
            </w:r>
          </w:p>
          <w:p w:rsidR="00260C55" w:rsidRPr="00260C55" w:rsidRDefault="00260C55" w:rsidP="00260C55">
            <w:pPr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 </w:t>
            </w:r>
          </w:p>
          <w:p w:rsidR="00260C55" w:rsidRPr="00260C55" w:rsidRDefault="00260C55" w:rsidP="00260C55">
            <w:pPr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 </w:t>
            </w:r>
          </w:p>
          <w:p w:rsidR="00260C55" w:rsidRPr="00260C55" w:rsidRDefault="00260C55" w:rsidP="00260C55">
            <w:pPr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FFFFFF"/>
            <w:hideMark/>
          </w:tcPr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Анохин Сергей Михайлович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proofErr w:type="spellStart"/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Бородинчик</w:t>
            </w:r>
            <w:proofErr w:type="spellEnd"/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 xml:space="preserve"> Иван Витальевич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Васнев Виктор Алексеевич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Головач Игорь Иванович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Груздев Владимир Сергеевич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Ермаков Олег Вячеславович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Кирпичёв Михаил Александрович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Князев Алексей Борисович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Нефёдов Эдуард Владимирович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Никитин Андрей Александрович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Новичков Николай Анатольевич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Пушкарёв Сергей Владимирович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Сафронов Александр Александрович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Сергиенко Игорь Петрович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Хорьков Владимир Аркадьевич</w:t>
            </w:r>
          </w:p>
          <w:p w:rsidR="00260C55" w:rsidRPr="00260C55" w:rsidRDefault="00260C55" w:rsidP="00260C55">
            <w:pPr>
              <w:shd w:val="clear" w:color="auto" w:fill="FFFFFF"/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proofErr w:type="spellStart"/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Цибикжапов</w:t>
            </w:r>
            <w:proofErr w:type="spellEnd"/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 xml:space="preserve"> Олег Витальевич</w:t>
            </w:r>
          </w:p>
        </w:tc>
      </w:tr>
    </w:tbl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C00000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I. Вступительное слово заместителя председателя Межведомственной комиссии по подготовке граждан Российской Федерации к военной службе и военно-патриотическому воспитанию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noProof/>
          <w:color w:val="363F52"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5962650" cy="28575"/>
                <wp:effectExtent l="0" t="0" r="0" b="0"/>
                <wp:docPr id="5" name="Прямоугольник 5" descr="C:\Users\FARASO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26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95277" id="Прямоугольник 5" o:spid="_x0000_s1026" style="width:469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XIGgMAABcGAAAOAAAAZHJzL2Uyb0RvYy54bWysVMtu3DYU3RfoPxDcy3pUmhkJloPJjBUU&#10;cGIjTnYDFByJGhGRSIakrXGLBAGyDZBPyEdkEyRpvkH+o15yHhk7m6KNFgRfOvecew/v8YN116Jr&#10;qjQTPMfhUYAR5aWoGF/l+PmzwptgpA3hFWkFpzm+oRo/OPn1l+NeZjQSjWgrqhCAcJ31MseNMTLz&#10;fV02tCP6SEjK4bAWqiMGlmrlV4r0gN61fhQEI78XqpJKlFRr2J1vDvGJw69rWprzutbUoDbHwM24&#10;UblxaUf/5JhkK0Vkw8otDfIfWHSEcQi6h5oTQ9CVYj9AdaxUQovaHJWi80Vds5I6DaAmDO6puWyI&#10;pE4LJEfLfZr0z4Mtn1xfKMSqHCcYcdJBiYYPt29u3w9fh2+3b4ePw7fhy+274e/h0/AZwZ2K6hLy&#10;N8sWzzWUfVFMn04vz1+Hi6mUVvXiTJSkXTyjnVx0WjSma8uWyXARhAs7+YN1ZEWDIDxasdqmv5c6&#10;AxaX8kLZBGoJAC804mLWEL6iUy2hiGAtoLfbUkr0DSUV5CG0EP4dDLvQgIaW/WNRgSByZYQrzrpW&#10;nY0BaUdr54GbvQfo2qASNpN0FI0SsEoJZ9EkGScuAsl2P0ulzSMqOmQnOVbAzoGT6zNtLBmS7a7Y&#10;WFwUrG2dzVp+ZwMubnYgNPxqzywJ55q/0iA9nZxOYi+ORqdeHMzn3rSYxd6oCMfJ/Lf5bDYPX9m4&#10;YZw1rKoot2F2Dg7jf+eQ7VvaeG/vYS1aVlk4S0mr1XLWKnRN4AUV7tsm5OCaf5eGSwJouScpjOLg&#10;YZR6xWgy9uIiTrx0HEy8IEwfpqMgTuN5cVfSGeP0/0tCfY7TJEpclQ5I39MWuO9HbSTrmIEe1bIu&#10;x5P9JZJZB57yypXWENZu5gepsPS/pwLKvSu086u16Mb9S1HdgF2VADuB8aCbwqQR6k+MeuhMOdYv&#10;r4iiGLW/c7B8GsaxbWVuESfjCBbq8GR5eEJ4CVA5NhhtpjOzaX9XUrFVA5FClxgupvBMauYsbJ/Q&#10;htX2cUH3cUq2ndI+9MO1u/W9n5/8AwAA//8DAFBLAwQUAAYACAAAACEAYU0KktsAAAADAQAADwAA&#10;AGRycy9kb3ducmV2LnhtbEyPT0vDQBDF74LfYRnBi9iNf7ExkyIFsYhQTLXnbXZMgtnZNLtN4rd3&#10;9KKXB483vPebbDG5Vg3Uh8YzwsUsAUVcettwhfC2eTy/AxWiYWtaz4TwRQEW+fFRZlLrR36loYiV&#10;khIOqUGoY+xSrUNZkzNh5jtiyT5870wU21fa9maUctfqyyS51c40LAu16WhZU/lZHBzCWK6H7ebl&#10;Sa/PtivP+9V+Wbw/I56eTA/3oCJN8e8YfvAFHXJh2vkD26BaBHkk/qpk86u52B3C9Q3oPNP/2fNv&#10;AAAA//8DAFBLAQItABQABgAIAAAAIQC2gziS/gAAAOEBAAATAAAAAAAAAAAAAAAAAAAAAABbQ29u&#10;dGVudF9UeXBlc10ueG1sUEsBAi0AFAAGAAgAAAAhADj9If/WAAAAlAEAAAsAAAAAAAAAAAAAAAAA&#10;LwEAAF9yZWxzLy5yZWxzUEsBAi0AFAAGAAgAAAAhADUZtcgaAwAAFwYAAA4AAAAAAAAAAAAAAAAA&#10;LgIAAGRycy9lMm9Eb2MueG1sUEsBAi0AFAAGAAgAAAAhAGFNCpL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br/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(Тонкошкуров В.П.)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C00000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II.</w:t>
      </w:r>
      <w:r w:rsidRPr="00260C55">
        <w:rPr>
          <w:rFonts w:ascii="Arial" w:eastAsia="Times New Roman" w:hAnsi="Arial" w:cs="Arial"/>
          <w:b/>
          <w:bCs/>
          <w:color w:val="C00000"/>
          <w:sz w:val="22"/>
          <w:szCs w:val="22"/>
          <w:lang w:eastAsia="ru-RU"/>
        </w:rPr>
        <w:t> </w:t>
      </w: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О ходе выполнения мероприятий III этапа Концепции федеральной системы подготовки граждан Российской Федерации к военной службе на период до 2020 года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noProof/>
          <w:color w:val="363F52"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5962650" cy="28575"/>
                <wp:effectExtent l="0" t="0" r="0" b="0"/>
                <wp:docPr id="4" name="Прямоугольник 4" descr="C:\Users\FARASO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26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FD3E4" id="Прямоугольник 4" o:spid="_x0000_s1026" style="width:469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fuGgMAABcGAAAOAAAAZHJzL2Uyb0RvYy54bWysVMtu3DYU3RfoPxDcy3pUmhkJloPJjBUU&#10;cGIjTnYDFByJGhGRSIakrXGLBAGyDZBPyEdkEyRpvkH+o15yHhk7m6KNFgRfOvecew/v8YN116Jr&#10;qjQTPMfhUYAR5aWoGF/l+PmzwptgpA3hFWkFpzm+oRo/OPn1l+NeZjQSjWgrqhCAcJ31MseNMTLz&#10;fV02tCP6SEjK4bAWqiMGlmrlV4r0gN61fhQEI78XqpJKlFRr2J1vDvGJw69rWprzutbUoDbHwM24&#10;UblxaUf/5JhkK0Vkw8otDfIfWHSEcQi6h5oTQ9CVYj9AdaxUQovaHJWi80Vds5I6DaAmDO6puWyI&#10;pE4LJEfLfZr0z4Mtn1xfKMSqHMcYcdJBiYYPt29u3w9fh2+3b4ePw7fhy+274e/h0/AZwZ2K6hLy&#10;N8sWzzWUfVFMn04vz1+Hi6mUVvXiTJSkXTyjnVx0WjSma8uWyXARhAs7+YN1ZEWDIDxasdqmv5c6&#10;AxaX8kLZBGoJAC804mLWEL6iUy2hiGAtoLfbUkr0DSUV5CG0EP4dDLvQgIaW/WNRgSByZYQrzrpW&#10;nY0BaUdr54GbvQfo2qASNpN0FI0SsEoJZ9EkGScuAsl2P0ulzSMqOmQnOVbAzoGT6zNtLBmS7a7Y&#10;WFwUrG2dzVp+ZwMubnYgNPxqzywJ55q/0iA9nZxOYi+ORqdeHMzn3rSYxd6oCMfJ/Lf5bDYPX9m4&#10;YZw1rKoot2F2Dg7jf+eQ7VvaeG/vYS1aVlk4S0mr1XLWKnRN4AUV7tsm5OCaf5eGSwJouScpjOLg&#10;YZR6xWgy9uIiTrx0HEy8IEwfpqMgTuN5cVfSGeP0/0tCfY7TJEpclQ5I39MWuO9HbSTrmIEe1bIu&#10;x5P9JZJZB57yypXWENZu5gepsPS/pwLKvSu086u16Mb9S1HdgF2VADuB8aCbwqQR6k+MeuhMOdYv&#10;r4iiGLW/c7B8GsaxbWVuESfjCBbq8GR5eEJ4CVA5NhhtpjOzaX9XUrFVA5FClxgupvBMauYsbJ/Q&#10;htX2cUH3cUq2ndI+9MO1u/W9n5/8AwAA//8DAFBLAwQUAAYACAAAACEAYU0KktsAAAADAQAADwAA&#10;AGRycy9kb3ducmV2LnhtbEyPT0vDQBDF74LfYRnBi9iNf7ExkyIFsYhQTLXnbXZMgtnZNLtN4rd3&#10;9KKXB483vPebbDG5Vg3Uh8YzwsUsAUVcettwhfC2eTy/AxWiYWtaz4TwRQEW+fFRZlLrR36loYiV&#10;khIOqUGoY+xSrUNZkzNh5jtiyT5870wU21fa9maUctfqyyS51c40LAu16WhZU/lZHBzCWK6H7ebl&#10;Sa/PtivP+9V+Wbw/I56eTA/3oCJN8e8YfvAFHXJh2vkD26BaBHkk/qpk86u52B3C9Q3oPNP/2fNv&#10;AAAA//8DAFBLAQItABQABgAIAAAAIQC2gziS/gAAAOEBAAATAAAAAAAAAAAAAAAAAAAAAABbQ29u&#10;dGVudF9UeXBlc10ueG1sUEsBAi0AFAAGAAgAAAAhADj9If/WAAAAlAEAAAsAAAAAAAAAAAAAAAAA&#10;LwEAAF9yZWxzLy5yZWxzUEsBAi0AFAAGAAgAAAAhAFwhZ+4aAwAAFwYAAA4AAAAAAAAAAAAAAAAA&#10;LgIAAGRycy9lMm9Eb2MueG1sUEsBAi0AFAAGAAgAAAAhAGFNCpL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(Андрианов Ю.М., </w:t>
      </w:r>
      <w:proofErr w:type="spellStart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Бородинчик</w:t>
      </w:r>
      <w:proofErr w:type="spellEnd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 И.В., Тонкошкуров В.П., Константинов В.И., Ольховский Р.М., Кальченко Г.И.)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lastRenderedPageBreak/>
        <w:t xml:space="preserve">1. Принять к сведению доклады и выступления представителей федеральных органов исполнительной власти, </w:t>
      </w:r>
      <w:proofErr w:type="spellStart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Росвоенцентра</w:t>
      </w:r>
      <w:proofErr w:type="spellEnd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 и ДОСААФ России и Тульской области.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2. Заинтересованным федеральным органам исполнительной власти совместно с органами исполнительной власти субъектов Российской Федерации и ДОСААФ России обеспечить: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контроль за реализацией региональных программ подготовки граждан к военной службе и эффективностью работы региональных центров подготовки граждан к военной службе и военно-патриотического</w:t>
      </w: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br/>
        <w:t>воспитания и формированием зональных центров;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завершение третьего этапа Концепции федеральной системы подготовки граждан Российской Федерации к военной службе. При этом приоритетными направлениями деятельности считать: проведение инвентаризации и формирование учебно-материальной базы ДОСААФ России, соответствующей потребностям государства, повышение качества подготовки граждан к военной службе, организацию работы по снижению количества граждан, не соответствующих требованиям военной службы по состоянию здоровья и физическому развитию;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проведение анализа работы по созданию в субъектах Российской Федерации зональных центров подготовки граждан к военной службе и военно-патриотического воспитания и подготовку материалов для включения в доклад Правительству Российской Федерации.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3. Минобороны России совместно с заинтересованными федеральными органами исполнительной власти, </w:t>
      </w:r>
      <w:proofErr w:type="spellStart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Росвоенцентром</w:t>
      </w:r>
      <w:proofErr w:type="spellEnd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 и ДОСААФ России подготовить предложения по уточнению критериев оценки и оценочных показателей субъектов Российской Федерации при проведении конкурса на лучшую подготовку граждан к военной службе, в том числе с учетом наличия и доступности спортивных объектов.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III. О деятельности региональных центров подготовки граждан к военной службе и военно-патриотического воспитания и об итогах работы по созданию зональных центров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noProof/>
          <w:color w:val="363F52"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5981700" cy="28575"/>
                <wp:effectExtent l="0" t="0" r="0" b="0"/>
                <wp:docPr id="3" name="Прямоугольник 3" descr="C:\Users\FARASO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8170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E3602" id="Прямоугольник 3" o:spid="_x0000_s1026" style="width:471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EPFgMAABcGAAAOAAAAZHJzL2Uyb0RvYy54bWysVMtu1DAU3SPxD5b3aR5kHomaVsNMg5DK&#10;QxR2IyFP4kwsEtvYbtOCQEhskfgEPoIN4tFvSP+Ia8+DadkgIAvLr5x7zr3Hd//wvG3QGVWaCZ7h&#10;cC/AiPJClIwvM/zsae6NMdKG8JI0gtMMX1CNDw9u39rvZEojUYumpAoBCNdpJzNcGyNT39dFTVui&#10;94SkHA4roVpiYKmWfqlIB+ht40dBMPQ7oUqpREG1ht3Z6hAfOPyqooV5VFWaGtRkGLgZNyo3Luzo&#10;H+yTdKmIrFmxpkH+gkVLGIegW6gZMQSdKvYbVMsKJbSozF4hWl9UFSuo0wBqwuCGmpOaSOq0QHK0&#10;3KZJ/z/Y4uHZY4VYmeE7GHHSQon6T1fvrj723/vLq/f95/6y/3b1of/Rf+m/IrhTUl1A/qbp/JmG&#10;ss/zyZPJyaO34XwipVU9PxYFaeZPaSvnrRa1aZuiYTKcB+HcTp6zlixpEER7S1bZ9HdSp8DiRD5W&#10;NoFaAsALjbiY1oQv6URLKCJYC+httpQSXU1JCXkILYR/DcMuNKChRfdAlCCInBrhinNeqdbGgLSj&#10;c+eBi60H6LlBBWwOknE4CsAqBZxF48Fo4CKQdPOzVNrco6JFdpJhBewcODk71saSIenmio3FRc6a&#10;xtms4dc24OJqB0LDr/bMknCueZ0EydH4aBx7cTQ88uJgNvMm+TT2hnk4GszuzKbTWfjGxg3jtGZl&#10;SbkNs3FwGP+ZQ9ZvaeW9rYe1aFhp4SwlrZaLaaPQGYEXlLtvnZCda/51Gi4JoOWGpDCKg7tR4uXD&#10;8ciL83jgJaNg7AVhcjcZBnESz/Lrko4Zp/8uCXUZTgbRwFVph/QNbYH7ftdG0pYZ6FENazM83l4i&#10;qXXgES9daQ1hzWq+kwpL/1cqoNybQju/Wouu3L8Q5QXYVQmwExgPuilMaqFeYdRBZ8qwfnlKFMWo&#10;uc/B8kkYx7aVuUU8GEWwULsni90TwguAyrDBaDWdmlX7O5WKLWuIFLrEcDGBZ1IxZ2H7hFas1o8L&#10;uo9Tsu6U9qHvrt2tX/384CcAAAD//wMAUEsDBBQABgAIAAAAIQB7RRXn2wAAAAMBAAAPAAAAZHJz&#10;L2Rvd25yZXYueG1sTI9BS8NAEIXvgv9hGcGL2I2lisZsihTEIkIx1Z6n2TEJZmfT7DaJ/97Ri14e&#10;PN7w3jfZcnKtGqgPjWcDV7MEFHHpbcOVgbft4+UtqBCRLbaeycAXBVjmpycZptaP/EpDESslJRxS&#10;NFDH2KVah7Imh2HmO2LJPnzvMIrtK217HKXctXqeJDfaYcOyUGNHq5rKz+LoDIzlZthtX5705mK3&#10;9nxYH1bF+7Mx52fTwz2oSFP8O4YffEGHXJj2/sg2qNaAPBJ/VbK7xVzs3sDiGnSe6f/s+TcAAAD/&#10;/wMAUEsBAi0AFAAGAAgAAAAhALaDOJL+AAAA4QEAABMAAAAAAAAAAAAAAAAAAAAAAFtDb250ZW50&#10;X1R5cGVzXS54bWxQSwECLQAUAAYACAAAACEAOP0h/9YAAACUAQAACwAAAAAAAAAAAAAAAAAvAQAA&#10;X3JlbHMvLnJlbHNQSwECLQAUAAYACAAAACEAnvzRDxYDAAAXBgAADgAAAAAAAAAAAAAAAAAuAgAA&#10;ZHJzL2Uyb0RvYy54bWxQSwECLQAUAAYACAAAACEAe0UV59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(Нефёдов Э.В., Никитин А.А., Пушкарёв С.В., </w:t>
      </w:r>
      <w:proofErr w:type="spellStart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Цибикжапов</w:t>
      </w:r>
      <w:proofErr w:type="spellEnd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 О.В.)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1. Принять к сведению доклады представителей военных округов.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2. Отметить в лучшую сторону организацию работы по созданию и развитию региональных и зональных центров военно-патриотического воспитания и подготовки граждан к военной службе в субъектах Российской Федерации, расположенных на территории Западного и Центрального военных округов.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3. Признать недостаточно эффективной проведение данной работы в субъектах Российской Федерации, расположенных на территории Восточного военного округа.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4. Органам исполнительной власти субъектов Российской Федерации совместно с ДОСААФ России и заинтересованными федеральными органами исполнительной власти активизировать работу по созданию и обеспечению эффективного функционирования зональных центров по подготовке граждан к военной службе и военно-патриотическому воспитанию.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lastRenderedPageBreak/>
        <w:t>IV. Об основных направлениях работы по совершенствованию военно-патриотического воспитания граждан Российской Федерации. О мерах государственной поддержки развития допризывной подготовки граждан Российской Федерации к военной службе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noProof/>
          <w:color w:val="363F52"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5953125" cy="28575"/>
                <wp:effectExtent l="0" t="0" r="0" b="0"/>
                <wp:docPr id="2" name="Прямоугольник 2" descr="C:\Users\FARASO~1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86ADF" id="Прямоугольник 2" o:spid="_x0000_s1026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e1GQMAABcGAAAOAAAAZHJzL2Uyb0RvYy54bWysVN1u1DoQvkfiHSzfp/lpsruJmqJlt0FI&#10;hSIKdysdeRNnY5HYxnabFgRC4haJRzgPcW6Ozg/PkL4RY+8PWxASAnJh2R7nm/lmvpmje1ddiy6p&#10;0kzwHIcHAUaUl6JifJXj588Kb4KRNoRXpBWc5viaanzv+O6do15mNBKNaCuqEIBwnfUyx40xMvN9&#10;XTa0I/pASMrBWAvVEQNHtfIrRXpA71o/CoKR3wtVSSVKqjXcztdGfOzw65qW5qyuNTWozTHEZtyq&#10;3Lq0q398RLKVIrJh5SYM8hNRdIRxcLqDmhND0IVi30B1rFRCi9oclKLzRV2zkjoOwCYMvmJz3hBJ&#10;HRdIjpa7NOnfB1s+vnyiEKtyHGHESQclGv68eXfzcfhv+HTzfvhr+DT8e/Nh+H/4e/gHwZuK6hLy&#10;N8sWzzWUfVFMn07Pz96Gi6mUlvXiVJSkXTyjnVx0WjSma8uWyXARhAu7+YN1ZEWD4PBgxWqb/l7q&#10;DKI4l0+UTaCWAPBCIy5mDeErOtUSigjSgvC2V0qJvqGkgjyEFsK/hWEPGtDQsn8kKiBELoxwxbmq&#10;VWd9QNrRldPA9U4D9MqgEi6TNDkMowSjEmzRJBknzgPJtj9Lpc0DKjpkNzlWEJ0DJ5en2thgSLZ9&#10;Yn1xUbC2dTJr+a0LeLi+Adfwq7XZIJxqXqdBejI5mcReHI1OvDiYz71pMYu9URGOk/nhfDabh2+s&#10;3zDOGlZVlFs3WwWH8Y8pZNNLa+3tNKxFyyoLZ0PSarWctQpdEuigwn2bhOw982+H4ZIAXL6iFEZx&#10;cD9KvWI0GXtxESdeOg4mXhCm99NREKfxvLhN6ZRx+uuUUJ/jNIGSOjrf5Ra471tuJOuYgRnVsi7H&#10;k90jklkFnvDKldYQ1q73e6mw4X9JBZR7W2inVyvRtfqXoroGuSoBcoIZBdMUNo1QrzDqYTLlWL+8&#10;IIpi1D7kIPk0jGM7ytwhTsYRHNS+ZblvIbwEqBwbjNbbmVmPvwup2KoBT6FLDBdTaJOaOQnbFlpH&#10;tWkumD6OyWZS2kbfP7tXX+b58WcAAAD//wMAUEsDBBQABgAIAAAAIQBl9lgh3QAAAAMBAAAPAAAA&#10;ZHJzL2Rvd25yZXYueG1sTI9PS8NAEMXvgt9hGcGLtBv/tNo0myIFsRShNNWep9kxCWZn0+w2id/e&#10;1Uu9DDze473fJIvB1KKj1lWWFdyOIxDEudUVFwredy+jJxDOI2usLZOCb3KwSC8vEoy17XlLXeYL&#10;EUrYxaig9L6JpXR5SQbd2DbEwfu0rUEfZFtI3WIfyk0t76JoKg1WHBZKbGhZUv6VnYyCPt90+93b&#10;q9zc7FeWj6vjMvtYK3V9NTzPQXga/DkMv/gBHdLAdLAn1k7UCsIj/u8Gb3b/OAFxUPAwAZkm8j97&#10;+gMAAP//AwBQSwECLQAUAAYACAAAACEAtoM4kv4AAADhAQAAEwAAAAAAAAAAAAAAAAAAAAAAW0Nv&#10;bnRlbnRfVHlwZXNdLnhtbFBLAQItABQABgAIAAAAIQA4/SH/1gAAAJQBAAALAAAAAAAAAAAAAAAA&#10;AC8BAABfcmVscy8ucmVsc1BLAQItABQABgAIAAAAIQCW3ke1GQMAABcGAAAOAAAAAAAAAAAAAAAA&#10;AC4CAABkcnMvZTJvRG9jLnhtbFBLAQItABQABgAIAAAAIQBl9lgh3QAAAAMBAAAPAAAAAAAAAAAA&#10;AAAAAHM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(Цыганков А.М., Тонкошкуров В.П., Груздев В.С.)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1. Принять к сведению доклад и выступления участников заседания.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2. По итогам рассмотрения вопроса рекомендовать: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а) федеральным органам исполнительной власти, в которых законодательством предусмотрена военная служба, подготовить ведомственные нормативные правовые акты по использованию учебно-материальной базы воинских частей и организаций для проведения мероприятий патриотической направленности, в том числе при проведении пятидневных сборов с учащимися образовательных организаций среднего общего и среднего профессионального образования;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б) Минспорту России включить во Всероссийский реестр видов спорта юношеские дисциплины по военно-прикладным видам спорта, а Минобороны России разработать нормы, требования и условия выполнения спортивных разрядов и званий по военно-прикладным видам спорта для допризывной и призывной молодежи;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в) Минобрнауки России совместно с Минобороны России разработать единую методику проведения сборов с гражданами Российской Федерации при организации подготовки по основам военной службы в образовательных организациях среднего общего и среднего профессионального образования;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г) органам исполнительной власти субъектов Российской Федерации совместно с военными комиссариатами организовать регулярное проведение комплексных проверок образовательных организаций и региональных центров по вопросам военно-патриотического воспитания и подготовки к военной службе.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д) Минобороны России совместно с заинтересованными федеральными органами исполнительной власти, </w:t>
      </w:r>
      <w:proofErr w:type="spellStart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Росвоенцентром</w:t>
      </w:r>
      <w:proofErr w:type="spellEnd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 xml:space="preserve"> и ДОСААФ России: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завершить проверку эффективности использования в субъектах Российской Федерации объектов, предназначенных для военно-патриотического воспитания. Подготовить и до 1 октября 2015 г. направить Президенту Российской Федерации доклад об итогах проверки;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к очередному заседанию Межведомственной комиссии представить предложения по выбору субъекта Российской Федерации, имеющего наиболее низкие показатели работы по подготовке граждан к военной службе и военно-патриотическому воспитанию, для проведения там выездного заседания в 2016 году с целью выработки рекомендаций для повышения эффективности данной работы.</w:t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V. Заключительное слово заместителя председателя Межведомственной комиссии по подготовке граждан Российской Федерации к военной службе и военно-патриотическому воспитанию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center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noProof/>
          <w:color w:val="363F52"/>
          <w:sz w:val="22"/>
          <w:szCs w:val="2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962650" cy="28575"/>
                <wp:effectExtent l="0" t="0" r="0" b="0"/>
                <wp:docPr id="1" name="Прямоугольник 1" descr="C:\Users\FARASO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26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B9FD8" id="Прямоугольник 1" o:spid="_x0000_s1026" style="width:469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1TGQMAABcGAAAOAAAAZHJzL2Uyb0RvYy54bWysVMtu3DYU3QfoPxDcy3pUmhkJlo3JjFUE&#10;cB6ok90ABUeiRkQlkiVpy26RIEC3BfoJ+YhsgiT1N8h/1EtqZjJ2NkVSLQi+dO459x7e49PrrkVX&#10;VGkmeI7DowAjyktRMb7J8auXhTfDSBvCK9IKTnN8QzU+Pfnh0XEvMxqJRrQVVQhAuM56mePGGJn5&#10;vi4b2hF9JCTlcFgL1REDS7XxK0V6QO9aPwqCid8LVUklSqo17C7HQ3zi8OualuZ5XWtqUJtj4Gbc&#10;qNy4tqN/ckyyjSKyYeWWBvkGFh1hHILuoZbEEHSp2FdQHSuV0KI2R6XofFHXrKROA6gJgwdqLhoi&#10;qdMCydFynyb9/8GWz65eKMQqqB1GnHRQouHd3du7v4fPw+3dn8P74Xb4dPfX8M/wYfiI4E5FdQn5&#10;W2SrVxrKvirmP88vnr8JV3MprerVuShJu3pJO7nqtGhM15Ytk+EqCFd28gvryIYGQXi0YbVNfy91&#10;Biwu5AtlE6glAPyqEReLhvANnWsJRRzp7baUEn1DSQV5CC2Efw/DLjSgoXX/VFQgiFwa4YpzXavO&#10;xoC0o2vngZu9B+i1QSVsJukkmiRglRLOolkyTVwEku1+lkqbn6jokJ3kWAE7B06uzrWxZEi2u2Jj&#10;cVGwtnU2a/m9Dbg47kBo+NWeWRLONX+kQXo2O5vFXhxNzrw4WC69ebGIvUkRTpPlj8vFYhm+tnHD&#10;OGtYVVFuw+wcHMb/zSHbtzR6b+9hLVpWWThLSavNetEqdEXgBRXu2ybk4Jp/n4ZLAmh5ICmM4uBx&#10;lHrFZDb14iJOvHQazLwgTB+nkyBO42VxX9I54/T7JaE+x2kSJa5KB6QfaAvc97U2knXMQI9qWZfj&#10;2f4SyawDz3jlSmsIa8f5QSos/S+pgHLvCu38ai06un8tqhuwqxJgJzAedFOYNEL9jlEPnSnH+rdL&#10;oihG7RMOlk/DOLatzC3iZBrBQh2erA9PCC8BKscGo3G6MGP7u5SKbRqIFLrEcDGHZ1IzZ2H7hEZW&#10;28cF3ccp2XZK+9AP1+7Wl35+8i8AAAD//wMAUEsDBBQABgAIAAAAIQBhTQqS2wAAAAMBAAAPAAAA&#10;ZHJzL2Rvd25yZXYueG1sTI9PS8NAEMXvgt9hGcGL2I1/sTGTIgWxiFBMtedtdkyC2dk0u03it3f0&#10;opcHjze895tsMblWDdSHxjPCxSwBRVx623CF8LZ5PL8DFaJha1rPhPBFARb58VFmUutHfqWhiJWS&#10;Eg6pQahj7FKtQ1mTM2HmO2LJPnzvTBTbV9r2ZpRy1+rLJLnVzjQsC7XpaFlT+VkcHMJYroft5uVJ&#10;r8+2K8/71X5ZvD8jnp5MD/egIk3x7xh+8AUdcmHa+QPboFoEeST+qmTzq7nYHcL1Deg80//Z828A&#10;AAD//wMAUEsBAi0AFAAGAAgAAAAhALaDOJL+AAAA4QEAABMAAAAAAAAAAAAAAAAAAAAAAFtDb250&#10;ZW50X1R5cGVzXS54bWxQSwECLQAUAAYACAAAACEAOP0h/9YAAACUAQAACwAAAAAAAAAAAAAAAAAv&#10;AQAAX3JlbHMvLnJlbHNQSwECLQAUAAYACAAAACEAkfj9UxkDAAAXBgAADgAAAAAAAAAAAAAAAAAu&#10;AgAAZHJzL2Uyb0RvYy54bWxQSwECLQAUAAYACAAAACEAYU0Kkt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260C55">
        <w:rPr>
          <w:rFonts w:ascii="Arial" w:eastAsia="Times New Roman" w:hAnsi="Arial" w:cs="Arial"/>
          <w:b/>
          <w:bCs/>
          <w:color w:val="363F52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br/>
      </w:r>
    </w:p>
    <w:p w:rsidR="00260C55" w:rsidRPr="00260C55" w:rsidRDefault="00260C55" w:rsidP="00260C55">
      <w:pPr>
        <w:shd w:val="clear" w:color="auto" w:fill="FFFFFF"/>
        <w:spacing w:after="285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C00000"/>
          <w:sz w:val="22"/>
          <w:szCs w:val="22"/>
          <w:lang w:eastAsia="ru-RU"/>
        </w:rPr>
        <w:t> </w:t>
      </w:r>
    </w:p>
    <w:p w:rsidR="00260C55" w:rsidRPr="00260C55" w:rsidRDefault="00260C55" w:rsidP="00260C55">
      <w:pPr>
        <w:shd w:val="clear" w:color="auto" w:fill="FFFFFF"/>
        <w:spacing w:after="0" w:line="315" w:lineRule="atLeast"/>
        <w:ind w:firstLine="0"/>
        <w:jc w:val="left"/>
        <w:rPr>
          <w:rFonts w:ascii="Arial" w:eastAsia="Times New Roman" w:hAnsi="Arial" w:cs="Arial"/>
          <w:color w:val="363F52"/>
          <w:sz w:val="22"/>
          <w:szCs w:val="22"/>
          <w:lang w:eastAsia="ru-RU"/>
        </w:rPr>
      </w:pP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Заместитель председателя</w:t>
      </w: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br/>
        <w:t>Межведомственной комиссии по подготовке граждан                   </w:t>
      </w:r>
      <w:r w:rsidR="005452ED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                              </w:t>
      </w:r>
      <w:bookmarkStart w:id="0" w:name="_GoBack"/>
      <w:bookmarkEnd w:id="0"/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t>(Тонкошкуров В.П.)</w:t>
      </w: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br/>
        <w:t>Российской Федерации к военной службе и военно-</w:t>
      </w:r>
      <w:r w:rsidRPr="00260C55">
        <w:rPr>
          <w:rFonts w:ascii="Arial" w:eastAsia="Times New Roman" w:hAnsi="Arial" w:cs="Arial"/>
          <w:color w:val="363F52"/>
          <w:sz w:val="22"/>
          <w:szCs w:val="22"/>
          <w:lang w:eastAsia="ru-RU"/>
        </w:rPr>
        <w:br/>
        <w:t>патриотическому воспитанию</w:t>
      </w:r>
    </w:p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260C55" w:rsidRPr="00260C55" w:rsidTr="00260C55">
        <w:tc>
          <w:tcPr>
            <w:tcW w:w="6874" w:type="dxa"/>
            <w:shd w:val="clear" w:color="auto" w:fill="FFFFFF"/>
            <w:hideMark/>
          </w:tcPr>
          <w:p w:rsidR="00260C55" w:rsidRPr="00260C55" w:rsidRDefault="00260C55" w:rsidP="00260C55">
            <w:pPr>
              <w:spacing w:after="285" w:line="315" w:lineRule="atLeast"/>
              <w:ind w:firstLine="0"/>
              <w:jc w:val="center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 </w:t>
            </w:r>
          </w:p>
          <w:p w:rsidR="00260C55" w:rsidRPr="00260C55" w:rsidRDefault="00260C55" w:rsidP="00260C55">
            <w:pPr>
              <w:spacing w:after="285" w:line="315" w:lineRule="atLeast"/>
              <w:ind w:firstLine="0"/>
              <w:jc w:val="center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 </w:t>
            </w:r>
          </w:p>
        </w:tc>
      </w:tr>
      <w:tr w:rsidR="00260C55" w:rsidRPr="00260C55" w:rsidTr="00260C55">
        <w:trPr>
          <w:trHeight w:val="496"/>
        </w:trPr>
        <w:tc>
          <w:tcPr>
            <w:tcW w:w="6874" w:type="dxa"/>
            <w:shd w:val="clear" w:color="auto" w:fill="FFFFFF"/>
            <w:hideMark/>
          </w:tcPr>
          <w:p w:rsidR="00260C55" w:rsidRPr="00260C55" w:rsidRDefault="00260C55" w:rsidP="00260C55">
            <w:pPr>
              <w:spacing w:after="285" w:line="315" w:lineRule="atLeast"/>
              <w:ind w:firstLine="0"/>
              <w:jc w:val="left"/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</w:pPr>
            <w:r w:rsidRPr="00260C55">
              <w:rPr>
                <w:rFonts w:ascii="Arial" w:eastAsia="Times New Roman" w:hAnsi="Arial" w:cs="Arial"/>
                <w:color w:val="363F52"/>
                <w:sz w:val="22"/>
                <w:szCs w:val="22"/>
                <w:lang w:eastAsia="ru-RU"/>
              </w:rPr>
              <w:t>«30» июня 2015 г.</w:t>
            </w:r>
          </w:p>
        </w:tc>
      </w:tr>
    </w:tbl>
    <w:p w:rsidR="00CB41E8" w:rsidRDefault="00CB41E8"/>
    <w:sectPr w:rsidR="00CB41E8" w:rsidSect="00DD2F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55"/>
    <w:rsid w:val="00260C55"/>
    <w:rsid w:val="002B4F02"/>
    <w:rsid w:val="005452ED"/>
    <w:rsid w:val="008F697C"/>
    <w:rsid w:val="00CB41E8"/>
    <w:rsid w:val="00D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2331"/>
  <w15:chartTrackingRefBased/>
  <w15:docId w15:val="{2525BF45-0BFA-4EA9-BC5A-F7967AE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C5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5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C5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C55"/>
  </w:style>
  <w:style w:type="paragraph" w:styleId="a4">
    <w:name w:val="Balloon Text"/>
    <w:basedOn w:val="a"/>
    <w:link w:val="a5"/>
    <w:uiPriority w:val="99"/>
    <w:semiHidden/>
    <w:unhideWhenUsed/>
    <w:rsid w:val="002B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 Феофанов</dc:creator>
  <cp:keywords/>
  <dc:description/>
  <cp:lastModifiedBy>!</cp:lastModifiedBy>
  <cp:revision>2</cp:revision>
  <cp:lastPrinted>2016-04-08T11:45:00Z</cp:lastPrinted>
  <dcterms:created xsi:type="dcterms:W3CDTF">2016-04-08T10:41:00Z</dcterms:created>
  <dcterms:modified xsi:type="dcterms:W3CDTF">2017-11-30T13:21:00Z</dcterms:modified>
</cp:coreProperties>
</file>